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3C05323D" w:rsidR="00357D03" w:rsidRPr="00AE7B05" w:rsidRDefault="00357D03" w:rsidP="0091447E">
      <w:pPr>
        <w:pStyle w:val="text"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91447E" w:rsidRPr="0091447E">
        <w:rPr>
          <w:rFonts w:ascii="Verdana" w:hAnsi="Verdana"/>
          <w:sz w:val="18"/>
          <w:szCs w:val="18"/>
        </w:rPr>
        <w:t>Doudleby nad Orlicí – stavědlo II. – napojení</w:t>
      </w:r>
      <w:r w:rsidR="0091447E">
        <w:rPr>
          <w:rFonts w:ascii="Verdana" w:hAnsi="Verdana"/>
          <w:sz w:val="18"/>
          <w:szCs w:val="18"/>
        </w:rPr>
        <w:t xml:space="preserve"> </w:t>
      </w:r>
      <w:r w:rsidR="0091447E" w:rsidRPr="0091447E">
        <w:rPr>
          <w:rFonts w:ascii="Verdana" w:hAnsi="Verdana"/>
          <w:sz w:val="18"/>
          <w:szCs w:val="18"/>
        </w:rPr>
        <w:t>kanalizace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  <w:bookmarkStart w:id="0" w:name="_GoBack"/>
      <w:bookmarkEnd w:id="0"/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1447E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2023-06-13T11:22:00Z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